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5"/>
        <w:ind w:left="116" w:right="0" w:firstLine="0"/>
        <w:jc w:val="left"/>
        <w:rPr>
          <w:sz w:val="23"/>
        </w:rPr>
      </w:pPr>
      <w:r>
        <w:rPr>
          <w:w w:val="110"/>
          <w:sz w:val="23"/>
        </w:rPr>
        <w:t>Drainage Design Criteria</w:t>
      </w:r>
    </w:p>
    <w:p>
      <w:pPr>
        <w:pStyle w:val="BodyText"/>
        <w:rPr>
          <w:sz w:val="38"/>
        </w:rPr>
      </w:pPr>
    </w:p>
    <w:p>
      <w:pPr>
        <w:pStyle w:val="Heading1"/>
      </w:pPr>
      <w:r>
        <w:rPr/>
        <w:t>1010 Maintenance of Traffic Drainage</w:t>
      </w:r>
    </w:p>
    <w:p>
      <w:pPr>
        <w:spacing w:before="232"/>
        <w:ind w:left="107" w:right="0" w:firstLine="0"/>
        <w:jc w:val="left"/>
        <w:rPr>
          <w:sz w:val="25"/>
        </w:rPr>
      </w:pPr>
      <w:r>
        <w:rPr>
          <w:sz w:val="25"/>
        </w:rPr>
        <w:t>1010.1 General</w:t>
      </w:r>
    </w:p>
    <w:p>
      <w:pPr>
        <w:pStyle w:val="BodyText"/>
        <w:spacing w:before="235"/>
        <w:ind w:left="116" w:right="122" w:firstLine="2"/>
        <w:jc w:val="both"/>
      </w:pPr>
      <w:r>
        <w:rPr/>
        <w:t>Positive</w:t>
      </w:r>
      <w:r>
        <w:rPr>
          <w:spacing w:val="-2"/>
        </w:rPr>
        <w:t> </w:t>
      </w:r>
      <w:r>
        <w:rPr/>
        <w:t>drainage</w:t>
      </w:r>
      <w:r>
        <w:rPr>
          <w:spacing w:val="-4"/>
        </w:rPr>
        <w:t> </w:t>
      </w:r>
      <w:r>
        <w:rPr/>
        <w:t>during</w:t>
      </w:r>
      <w:r>
        <w:rPr>
          <w:spacing w:val="-2"/>
        </w:rPr>
        <w:t> </w:t>
      </w:r>
      <w:r>
        <w:rPr/>
        <w:t>Maintenance</w:t>
      </w:r>
      <w:r>
        <w:rPr>
          <w:spacing w:val="5"/>
        </w:rPr>
        <w:t> </w:t>
      </w:r>
      <w:r>
        <w:rPr/>
        <w:t>of</w:t>
      </w:r>
      <w:r>
        <w:rPr>
          <w:spacing w:val="-9"/>
        </w:rPr>
        <w:t> </w:t>
      </w:r>
      <w:r>
        <w:rPr/>
        <w:t>Traffic</w:t>
      </w:r>
      <w:r>
        <w:rPr>
          <w:spacing w:val="-5"/>
        </w:rPr>
        <w:t> </w:t>
      </w:r>
      <w:r>
        <w:rPr/>
        <w:t>(MOT)</w:t>
      </w:r>
      <w:r>
        <w:rPr>
          <w:spacing w:val="-5"/>
        </w:rPr>
        <w:t> </w:t>
      </w:r>
      <w:r>
        <w:rPr/>
        <w:t>operations</w:t>
      </w:r>
      <w:r>
        <w:rPr>
          <w:spacing w:val="-1"/>
        </w:rPr>
        <w:t> </w:t>
      </w:r>
      <w:r>
        <w:rPr/>
        <w:t>is</w:t>
      </w:r>
      <w:r>
        <w:rPr>
          <w:spacing w:val="-12"/>
        </w:rPr>
        <w:t> </w:t>
      </w:r>
      <w:r>
        <w:rPr/>
        <w:t>furnished</w:t>
      </w:r>
      <w:r>
        <w:rPr>
          <w:spacing w:val="2"/>
        </w:rPr>
        <w:t> </w:t>
      </w:r>
      <w:r>
        <w:rPr/>
        <w:t>under</w:t>
      </w:r>
      <w:r>
        <w:rPr>
          <w:spacing w:val="-3"/>
        </w:rPr>
        <w:t> </w:t>
      </w:r>
      <w:r>
        <w:rPr/>
        <w:t>items</w:t>
      </w:r>
      <w:r>
        <w:rPr>
          <w:spacing w:val="-4"/>
        </w:rPr>
        <w:t> </w:t>
      </w:r>
      <w:r>
        <w:rPr/>
        <w:t>614</w:t>
      </w:r>
      <w:r>
        <w:rPr>
          <w:spacing w:val="-10"/>
        </w:rPr>
        <w:t> </w:t>
      </w:r>
      <w:r>
        <w:rPr/>
        <w:t>and</w:t>
      </w:r>
      <w:r>
        <w:rPr>
          <w:spacing w:val="-12"/>
        </w:rPr>
        <w:t> </w:t>
      </w:r>
      <w:r>
        <w:rPr/>
        <w:t>615</w:t>
      </w:r>
      <w:r>
        <w:rPr>
          <w:spacing w:val="-8"/>
        </w:rPr>
        <w:t> </w:t>
      </w:r>
      <w:r>
        <w:rPr/>
        <w:t>of the CMS for most projects. Evaluate MOT drainage for projects on Interstates and Expressways that have one or more of the following or as directed by the</w:t>
      </w:r>
      <w:r>
        <w:rPr>
          <w:spacing w:val="42"/>
        </w:rPr>
        <w:t> </w:t>
      </w:r>
      <w:r>
        <w:rPr/>
        <w:t>District:</w:t>
      </w:r>
    </w:p>
    <w:p>
      <w:pPr>
        <w:pStyle w:val="BodyText"/>
        <w:spacing w:before="8"/>
        <w:rPr>
          <w:sz w:val="19"/>
        </w:rPr>
      </w:pPr>
    </w:p>
    <w:p>
      <w:pPr>
        <w:pStyle w:val="ListParagraph"/>
        <w:numPr>
          <w:ilvl w:val="0"/>
          <w:numId w:val="1"/>
        </w:numPr>
        <w:tabs>
          <w:tab w:pos="480" w:val="left" w:leader="none"/>
        </w:tabs>
        <w:spacing w:line="240" w:lineRule="auto" w:before="0" w:after="0"/>
        <w:ind w:left="476" w:right="0" w:hanging="356"/>
        <w:jc w:val="left"/>
        <w:rPr>
          <w:sz w:val="20"/>
        </w:rPr>
      </w:pPr>
      <w:r>
        <w:rPr>
          <w:sz w:val="20"/>
        </w:rPr>
        <w:t>Multi-phased MOT</w:t>
      </w:r>
      <w:r>
        <w:rPr>
          <w:spacing w:val="-34"/>
          <w:sz w:val="20"/>
        </w:rPr>
        <w:t> </w:t>
      </w:r>
      <w:r>
        <w:rPr>
          <w:sz w:val="20"/>
        </w:rPr>
        <w:t>operations</w:t>
      </w:r>
    </w:p>
    <w:p>
      <w:pPr>
        <w:pStyle w:val="ListParagraph"/>
        <w:numPr>
          <w:ilvl w:val="0"/>
          <w:numId w:val="1"/>
        </w:numPr>
        <w:tabs>
          <w:tab w:pos="479" w:val="left" w:leader="none"/>
        </w:tabs>
        <w:spacing w:line="240" w:lineRule="auto" w:before="6" w:after="0"/>
        <w:ind w:left="479" w:right="0" w:hanging="360"/>
        <w:jc w:val="left"/>
        <w:rPr>
          <w:sz w:val="20"/>
        </w:rPr>
      </w:pPr>
      <w:r>
        <w:rPr>
          <w:sz w:val="20"/>
        </w:rPr>
        <w:t>Profile changes in the roadway that temporarily create a sag point different than the final</w:t>
      </w:r>
      <w:r>
        <w:rPr>
          <w:spacing w:val="8"/>
          <w:sz w:val="20"/>
        </w:rPr>
        <w:t> </w:t>
      </w:r>
      <w:r>
        <w:rPr>
          <w:sz w:val="20"/>
        </w:rPr>
        <w:t>design</w:t>
      </w:r>
    </w:p>
    <w:p>
      <w:pPr>
        <w:pStyle w:val="ListParagraph"/>
        <w:numPr>
          <w:ilvl w:val="0"/>
          <w:numId w:val="1"/>
        </w:numPr>
        <w:tabs>
          <w:tab w:pos="476" w:val="left" w:leader="none"/>
        </w:tabs>
        <w:spacing w:line="240" w:lineRule="auto" w:before="0" w:after="0"/>
        <w:ind w:left="476" w:right="126" w:hanging="357"/>
        <w:jc w:val="left"/>
        <w:rPr>
          <w:sz w:val="20"/>
        </w:rPr>
      </w:pPr>
      <w:r>
        <w:rPr>
          <w:sz w:val="20"/>
        </w:rPr>
        <w:t>Traffic</w:t>
      </w:r>
      <w:r>
        <w:rPr>
          <w:spacing w:val="-9"/>
          <w:sz w:val="20"/>
        </w:rPr>
        <w:t> </w:t>
      </w:r>
      <w:r>
        <w:rPr>
          <w:sz w:val="20"/>
        </w:rPr>
        <w:t>maintained</w:t>
      </w:r>
      <w:r>
        <w:rPr>
          <w:spacing w:val="-2"/>
          <w:sz w:val="20"/>
        </w:rPr>
        <w:t> </w:t>
      </w:r>
      <w:r>
        <w:rPr>
          <w:sz w:val="20"/>
        </w:rPr>
        <w:t>adjacent</w:t>
      </w:r>
      <w:r>
        <w:rPr>
          <w:spacing w:val="-4"/>
          <w:sz w:val="20"/>
        </w:rPr>
        <w:t> </w:t>
      </w:r>
      <w:r>
        <w:rPr>
          <w:sz w:val="20"/>
        </w:rPr>
        <w:t>to</w:t>
      </w:r>
      <w:r>
        <w:rPr>
          <w:spacing w:val="-16"/>
          <w:sz w:val="20"/>
        </w:rPr>
        <w:t> </w:t>
      </w:r>
      <w:r>
        <w:rPr>
          <w:sz w:val="20"/>
        </w:rPr>
        <w:t>concrete</w:t>
      </w:r>
      <w:r>
        <w:rPr>
          <w:spacing w:val="-7"/>
          <w:sz w:val="20"/>
        </w:rPr>
        <w:t> </w:t>
      </w:r>
      <w:r>
        <w:rPr>
          <w:sz w:val="20"/>
        </w:rPr>
        <w:t>barrier</w:t>
      </w:r>
      <w:r>
        <w:rPr>
          <w:spacing w:val="-10"/>
          <w:sz w:val="20"/>
        </w:rPr>
        <w:t> </w:t>
      </w:r>
      <w:r>
        <w:rPr>
          <w:sz w:val="20"/>
        </w:rPr>
        <w:t>with</w:t>
      </w:r>
      <w:r>
        <w:rPr>
          <w:spacing w:val="-17"/>
          <w:sz w:val="20"/>
        </w:rPr>
        <w:t> </w:t>
      </w:r>
      <w:r>
        <w:rPr>
          <w:sz w:val="20"/>
        </w:rPr>
        <w:t>less</w:t>
      </w:r>
      <w:r>
        <w:rPr>
          <w:spacing w:val="-13"/>
          <w:sz w:val="20"/>
        </w:rPr>
        <w:t> </w:t>
      </w:r>
      <w:r>
        <w:rPr>
          <w:sz w:val="20"/>
        </w:rPr>
        <w:t>than</w:t>
      </w:r>
      <w:r>
        <w:rPr>
          <w:spacing w:val="-15"/>
          <w:sz w:val="20"/>
        </w:rPr>
        <w:t> </w:t>
      </w:r>
      <w:r>
        <w:rPr>
          <w:sz w:val="20"/>
        </w:rPr>
        <w:t>2</w:t>
      </w:r>
      <w:r>
        <w:rPr>
          <w:spacing w:val="-17"/>
          <w:sz w:val="20"/>
        </w:rPr>
        <w:t> </w:t>
      </w:r>
      <w:r>
        <w:rPr>
          <w:sz w:val="20"/>
        </w:rPr>
        <w:t>feet</w:t>
      </w:r>
      <w:r>
        <w:rPr>
          <w:spacing w:val="-10"/>
          <w:sz w:val="20"/>
        </w:rPr>
        <w:t> </w:t>
      </w:r>
      <w:r>
        <w:rPr>
          <w:sz w:val="20"/>
        </w:rPr>
        <w:t>clear</w:t>
      </w:r>
      <w:r>
        <w:rPr>
          <w:spacing w:val="-9"/>
          <w:sz w:val="20"/>
        </w:rPr>
        <w:t> </w:t>
      </w:r>
      <w:r>
        <w:rPr>
          <w:sz w:val="20"/>
        </w:rPr>
        <w:t>distance</w:t>
      </w:r>
      <w:r>
        <w:rPr>
          <w:spacing w:val="-4"/>
          <w:sz w:val="20"/>
        </w:rPr>
        <w:t> </w:t>
      </w:r>
      <w:r>
        <w:rPr>
          <w:sz w:val="20"/>
        </w:rPr>
        <w:t>from</w:t>
      </w:r>
      <w:r>
        <w:rPr>
          <w:spacing w:val="-16"/>
          <w:sz w:val="20"/>
        </w:rPr>
        <w:t> </w:t>
      </w:r>
      <w:r>
        <w:rPr>
          <w:sz w:val="20"/>
        </w:rPr>
        <w:t>the</w:t>
      </w:r>
      <w:r>
        <w:rPr>
          <w:spacing w:val="-13"/>
          <w:sz w:val="20"/>
        </w:rPr>
        <w:t> </w:t>
      </w:r>
      <w:r>
        <w:rPr>
          <w:sz w:val="20"/>
        </w:rPr>
        <w:t>edge</w:t>
      </w:r>
      <w:r>
        <w:rPr>
          <w:spacing w:val="-14"/>
          <w:sz w:val="20"/>
        </w:rPr>
        <w:t> </w:t>
      </w:r>
      <w:r>
        <w:rPr>
          <w:sz w:val="20"/>
        </w:rPr>
        <w:t>of</w:t>
      </w:r>
      <w:r>
        <w:rPr>
          <w:spacing w:val="-16"/>
          <w:sz w:val="20"/>
        </w:rPr>
        <w:t> </w:t>
      </w:r>
      <w:r>
        <w:rPr>
          <w:sz w:val="20"/>
        </w:rPr>
        <w:t>lane to the edge of</w:t>
      </w:r>
      <w:r>
        <w:rPr>
          <w:spacing w:val="9"/>
          <w:sz w:val="20"/>
        </w:rPr>
        <w:t> </w:t>
      </w:r>
      <w:r>
        <w:rPr>
          <w:sz w:val="20"/>
        </w:rPr>
        <w:t>barrier</w:t>
      </w:r>
    </w:p>
    <w:p>
      <w:pPr>
        <w:pStyle w:val="BodyText"/>
        <w:spacing w:before="8"/>
        <w:rPr>
          <w:sz w:val="19"/>
        </w:rPr>
      </w:pPr>
    </w:p>
    <w:p>
      <w:pPr>
        <w:pStyle w:val="BodyText"/>
        <w:ind w:left="116" w:firstLine="1"/>
      </w:pPr>
      <w:r>
        <w:rPr/>
        <w:t>Furnish a minimum dry lane width of 10 feet for each travelled lane. Determine the spread of water on the pavement using a 2 year design frequency unless a different frequency is specified by the District.</w:t>
      </w:r>
    </w:p>
    <w:p>
      <w:pPr>
        <w:pStyle w:val="BodyText"/>
        <w:spacing w:before="1"/>
      </w:pPr>
    </w:p>
    <w:p>
      <w:pPr>
        <w:pStyle w:val="BodyText"/>
        <w:ind w:left="115" w:right="122" w:firstLine="3"/>
        <w:jc w:val="both"/>
      </w:pPr>
      <w:r>
        <w:rPr/>
        <w:t>Provide</w:t>
      </w:r>
      <w:r>
        <w:rPr>
          <w:spacing w:val="-15"/>
        </w:rPr>
        <w:t> </w:t>
      </w:r>
      <w:r>
        <w:rPr/>
        <w:t>MOT</w:t>
      </w:r>
      <w:r>
        <w:rPr>
          <w:spacing w:val="-17"/>
        </w:rPr>
        <w:t> </w:t>
      </w:r>
      <w:r>
        <w:rPr/>
        <w:t>drainage</w:t>
      </w:r>
      <w:r>
        <w:rPr>
          <w:spacing w:val="-12"/>
        </w:rPr>
        <w:t> </w:t>
      </w:r>
      <w:r>
        <w:rPr/>
        <w:t>by</w:t>
      </w:r>
      <w:r>
        <w:rPr>
          <w:spacing w:val="-18"/>
        </w:rPr>
        <w:t> </w:t>
      </w:r>
      <w:r>
        <w:rPr/>
        <w:t>utilizing</w:t>
      </w:r>
      <w:r>
        <w:rPr>
          <w:spacing w:val="-14"/>
        </w:rPr>
        <w:t> </w:t>
      </w:r>
      <w:r>
        <w:rPr/>
        <w:t>permanent</w:t>
      </w:r>
      <w:r>
        <w:rPr>
          <w:spacing w:val="-6"/>
        </w:rPr>
        <w:t> </w:t>
      </w:r>
      <w:r>
        <w:rPr/>
        <w:t>drainage</w:t>
      </w:r>
      <w:r>
        <w:rPr>
          <w:spacing w:val="-12"/>
        </w:rPr>
        <w:t> </w:t>
      </w:r>
      <w:r>
        <w:rPr/>
        <w:t>items</w:t>
      </w:r>
      <w:r>
        <w:rPr>
          <w:spacing w:val="-17"/>
        </w:rPr>
        <w:t> </w:t>
      </w:r>
      <w:r>
        <w:rPr/>
        <w:t>for</w:t>
      </w:r>
      <w:r>
        <w:rPr>
          <w:spacing w:val="-20"/>
        </w:rPr>
        <w:t> </w:t>
      </w:r>
      <w:r>
        <w:rPr/>
        <w:t>final</w:t>
      </w:r>
      <w:r>
        <w:rPr>
          <w:spacing w:val="-20"/>
        </w:rPr>
        <w:t> </w:t>
      </w:r>
      <w:r>
        <w:rPr/>
        <w:t>design</w:t>
      </w:r>
      <w:r>
        <w:rPr>
          <w:spacing w:val="-16"/>
        </w:rPr>
        <w:t> </w:t>
      </w:r>
      <w:r>
        <w:rPr/>
        <w:t>and</w:t>
      </w:r>
      <w:r>
        <w:rPr>
          <w:spacing w:val="-19"/>
        </w:rPr>
        <w:t> </w:t>
      </w:r>
      <w:r>
        <w:rPr/>
        <w:t>temporary</w:t>
      </w:r>
      <w:r>
        <w:rPr>
          <w:spacing w:val="-11"/>
        </w:rPr>
        <w:t> </w:t>
      </w:r>
      <w:r>
        <w:rPr/>
        <w:t>drainage</w:t>
      </w:r>
      <w:r>
        <w:rPr>
          <w:spacing w:val="-17"/>
        </w:rPr>
        <w:t> </w:t>
      </w:r>
      <w:r>
        <w:rPr/>
        <w:t>items. Temporary drainage items may include items such as inlets, storm sewers, culverts, ditches, perforated conduits, catch basins, conduits jacked and bored, opening cuts in concrete barrier, French drains, pavement saw cut openings, etcetera. These drainage items may conflict with future MOT phases and may require removal quantities in subsequent MOT</w:t>
      </w:r>
      <w:r>
        <w:rPr>
          <w:spacing w:val="55"/>
        </w:rPr>
        <w:t> </w:t>
      </w:r>
      <w:r>
        <w:rPr/>
        <w:t>phases.</w:t>
      </w:r>
    </w:p>
    <w:p>
      <w:pPr>
        <w:pStyle w:val="BodyText"/>
        <w:spacing w:before="3"/>
      </w:pPr>
    </w:p>
    <w:p>
      <w:pPr>
        <w:pStyle w:val="BodyText"/>
        <w:spacing w:line="223" w:lineRule="exact"/>
        <w:ind w:left="118"/>
        <w:jc w:val="both"/>
      </w:pPr>
      <w:r>
        <w:rPr/>
        <w:t>Use permanent drainage items for final design where feasible. Furnish a minimum diameter of 12 inches</w:t>
      </w:r>
    </w:p>
    <w:p>
      <w:pPr>
        <w:spacing w:line="235" w:lineRule="exact" w:before="0"/>
        <w:ind w:left="118" w:right="0" w:firstLine="0"/>
        <w:jc w:val="both"/>
        <w:rPr>
          <w:sz w:val="21"/>
        </w:rPr>
      </w:pPr>
      <w:r>
        <w:rPr>
          <w:sz w:val="21"/>
        </w:rPr>
        <w:t>for temporary storm sewer and 18 inches for temporary culverts.</w:t>
      </w:r>
    </w:p>
    <w:p>
      <w:pPr>
        <w:pStyle w:val="BodyText"/>
        <w:spacing w:before="10"/>
        <w:rPr>
          <w:sz w:val="19"/>
        </w:rPr>
      </w:pPr>
    </w:p>
    <w:p>
      <w:pPr>
        <w:pStyle w:val="BodyText"/>
        <w:ind w:left="119"/>
        <w:jc w:val="both"/>
      </w:pPr>
      <w:r>
        <w:rPr/>
        <w:t>Provide temporary drainage items on the MOT plan per plan note D124.</w:t>
      </w:r>
    </w:p>
    <w:p>
      <w:pPr>
        <w:pStyle w:val="BodyText"/>
        <w:spacing w:before="4"/>
        <w:rPr>
          <w:sz w:val="19"/>
        </w:rPr>
      </w:pPr>
    </w:p>
    <w:p>
      <w:pPr>
        <w:pStyle w:val="Heading1"/>
        <w:spacing w:before="1"/>
        <w:ind w:left="111"/>
        <w:jc w:val="both"/>
        <w:rPr>
          <w:rFonts w:ascii="Trebuchet MS"/>
        </w:rPr>
      </w:pPr>
      <w:r>
        <w:rPr>
          <w:rFonts w:ascii="Trebuchet MS"/>
          <w:w w:val="105"/>
        </w:rPr>
        <w:t>1011 Temporary Structures</w:t>
      </w:r>
    </w:p>
    <w:p>
      <w:pPr>
        <w:pStyle w:val="BodyText"/>
        <w:spacing w:before="232"/>
        <w:ind w:left="118" w:hanging="4"/>
      </w:pPr>
      <w:r>
        <w:rPr/>
        <w:t>The design year and other hydraulic requirements for temporary structures are defined in CMS 502.02. Ensure scour depth is accounted for in the in the design of a temporary bridge and foundation.</w:t>
      </w:r>
    </w:p>
    <w:p>
      <w:pPr>
        <w:pStyle w:val="BodyText"/>
        <w:spacing w:before="1"/>
      </w:pPr>
    </w:p>
    <w:p>
      <w:pPr>
        <w:pStyle w:val="BodyText"/>
        <w:spacing w:before="1"/>
        <w:ind w:left="118" w:right="117" w:hanging="3"/>
        <w:jc w:val="both"/>
      </w:pPr>
      <w:r>
        <w:rPr/>
        <w:t>Show</w:t>
      </w:r>
      <w:r>
        <w:rPr>
          <w:spacing w:val="-6"/>
        </w:rPr>
        <w:t> </w:t>
      </w:r>
      <w:r>
        <w:rPr/>
        <w:t>the</w:t>
      </w:r>
      <w:r>
        <w:rPr>
          <w:spacing w:val="-13"/>
        </w:rPr>
        <w:t> </w:t>
      </w:r>
      <w:r>
        <w:rPr/>
        <w:t>water</w:t>
      </w:r>
      <w:r>
        <w:rPr>
          <w:spacing w:val="-7"/>
        </w:rPr>
        <w:t> </w:t>
      </w:r>
      <w:r>
        <w:rPr/>
        <w:t>surface</w:t>
      </w:r>
      <w:r>
        <w:rPr>
          <w:spacing w:val="-6"/>
        </w:rPr>
        <w:t> </w:t>
      </w:r>
      <w:r>
        <w:rPr/>
        <w:t>elevation</w:t>
      </w:r>
      <w:r>
        <w:rPr>
          <w:spacing w:val="-4"/>
        </w:rPr>
        <w:t> </w:t>
      </w:r>
      <w:r>
        <w:rPr/>
        <w:t>(“high</w:t>
      </w:r>
      <w:r>
        <w:rPr>
          <w:spacing w:val="-11"/>
        </w:rPr>
        <w:t> </w:t>
      </w:r>
      <w:r>
        <w:rPr/>
        <w:t>water”)</w:t>
      </w:r>
      <w:r>
        <w:rPr>
          <w:spacing w:val="-4"/>
        </w:rPr>
        <w:t> </w:t>
      </w:r>
      <w:r>
        <w:rPr/>
        <w:t>and</w:t>
      </w:r>
      <w:r>
        <w:rPr>
          <w:spacing w:val="-10"/>
        </w:rPr>
        <w:t> </w:t>
      </w:r>
      <w:r>
        <w:rPr/>
        <w:t>velocity</w:t>
      </w:r>
      <w:r>
        <w:rPr>
          <w:spacing w:val="-7"/>
        </w:rPr>
        <w:t> </w:t>
      </w:r>
      <w:r>
        <w:rPr/>
        <w:t>of</w:t>
      </w:r>
      <w:r>
        <w:rPr>
          <w:spacing w:val="-12"/>
        </w:rPr>
        <w:t> </w:t>
      </w:r>
      <w:r>
        <w:rPr/>
        <w:t>the</w:t>
      </w:r>
      <w:r>
        <w:rPr>
          <w:spacing w:val="-14"/>
        </w:rPr>
        <w:t> </w:t>
      </w:r>
      <w:r>
        <w:rPr/>
        <w:t>design</w:t>
      </w:r>
      <w:r>
        <w:rPr>
          <w:spacing w:val="-5"/>
        </w:rPr>
        <w:t> </w:t>
      </w:r>
      <w:r>
        <w:rPr/>
        <w:t>year</w:t>
      </w:r>
      <w:r>
        <w:rPr>
          <w:spacing w:val="-8"/>
        </w:rPr>
        <w:t> </w:t>
      </w:r>
      <w:r>
        <w:rPr/>
        <w:t>discharge</w:t>
      </w:r>
      <w:r>
        <w:rPr>
          <w:spacing w:val="-3"/>
        </w:rPr>
        <w:t> </w:t>
      </w:r>
      <w:r>
        <w:rPr/>
        <w:t>on</w:t>
      </w:r>
      <w:r>
        <w:rPr>
          <w:spacing w:val="-16"/>
        </w:rPr>
        <w:t> </w:t>
      </w:r>
      <w:r>
        <w:rPr/>
        <w:t>the</w:t>
      </w:r>
      <w:r>
        <w:rPr>
          <w:spacing w:val="-12"/>
        </w:rPr>
        <w:t> </w:t>
      </w:r>
      <w:r>
        <w:rPr/>
        <w:t>temporary structure</w:t>
      </w:r>
      <w:r>
        <w:rPr>
          <w:spacing w:val="-7"/>
        </w:rPr>
        <w:t> </w:t>
      </w:r>
      <w:r>
        <w:rPr/>
        <w:t>plans.</w:t>
      </w:r>
      <w:r>
        <w:rPr>
          <w:spacing w:val="33"/>
        </w:rPr>
        <w:t> </w:t>
      </w:r>
      <w:r>
        <w:rPr/>
        <w:t>Ensure</w:t>
      </w:r>
      <w:r>
        <w:rPr>
          <w:spacing w:val="-7"/>
        </w:rPr>
        <w:t> </w:t>
      </w:r>
      <w:r>
        <w:rPr/>
        <w:t>the</w:t>
      </w:r>
      <w:r>
        <w:rPr>
          <w:spacing w:val="-17"/>
        </w:rPr>
        <w:t> </w:t>
      </w:r>
      <w:r>
        <w:rPr/>
        <w:t>design</w:t>
      </w:r>
      <w:r>
        <w:rPr>
          <w:spacing w:val="-4"/>
        </w:rPr>
        <w:t> </w:t>
      </w:r>
      <w:r>
        <w:rPr/>
        <w:t>year</w:t>
      </w:r>
      <w:r>
        <w:rPr>
          <w:spacing w:val="-11"/>
        </w:rPr>
        <w:t> </w:t>
      </w:r>
      <w:r>
        <w:rPr/>
        <w:t>discharge</w:t>
      </w:r>
      <w:r>
        <w:rPr>
          <w:spacing w:val="-5"/>
        </w:rPr>
        <w:t> </w:t>
      </w:r>
      <w:r>
        <w:rPr/>
        <w:t>does</w:t>
      </w:r>
      <w:r>
        <w:rPr>
          <w:spacing w:val="-12"/>
        </w:rPr>
        <w:t> </w:t>
      </w:r>
      <w:r>
        <w:rPr/>
        <w:t>not</w:t>
      </w:r>
      <w:r>
        <w:rPr>
          <w:spacing w:val="-15"/>
        </w:rPr>
        <w:t> </w:t>
      </w:r>
      <w:r>
        <w:rPr/>
        <w:t>contact</w:t>
      </w:r>
      <w:r>
        <w:rPr>
          <w:spacing w:val="-9"/>
        </w:rPr>
        <w:t> </w:t>
      </w:r>
      <w:r>
        <w:rPr/>
        <w:t>the</w:t>
      </w:r>
      <w:r>
        <w:rPr>
          <w:spacing w:val="-17"/>
        </w:rPr>
        <w:t> </w:t>
      </w:r>
      <w:r>
        <w:rPr/>
        <w:t>lowest</w:t>
      </w:r>
      <w:r>
        <w:rPr>
          <w:spacing w:val="-9"/>
        </w:rPr>
        <w:t> </w:t>
      </w:r>
      <w:r>
        <w:rPr/>
        <w:t>portion</w:t>
      </w:r>
      <w:r>
        <w:rPr>
          <w:spacing w:val="-12"/>
        </w:rPr>
        <w:t> </w:t>
      </w:r>
      <w:r>
        <w:rPr/>
        <w:t>of</w:t>
      </w:r>
      <w:r>
        <w:rPr>
          <w:spacing w:val="-16"/>
        </w:rPr>
        <w:t> </w:t>
      </w:r>
      <w:r>
        <w:rPr/>
        <w:t>the</w:t>
      </w:r>
      <w:r>
        <w:rPr>
          <w:spacing w:val="-12"/>
        </w:rPr>
        <w:t> </w:t>
      </w:r>
      <w:r>
        <w:rPr/>
        <w:t>superstructure of a temporary</w:t>
      </w:r>
      <w:r>
        <w:rPr>
          <w:spacing w:val="16"/>
        </w:rPr>
        <w:t> </w:t>
      </w:r>
      <w:r>
        <w:rPr/>
        <w:t>bridge.</w:t>
      </w:r>
    </w:p>
    <w:p>
      <w:pPr>
        <w:pStyle w:val="BodyText"/>
        <w:spacing w:before="1"/>
      </w:pPr>
    </w:p>
    <w:p>
      <w:pPr>
        <w:pStyle w:val="BodyText"/>
        <w:ind w:left="117" w:firstLine="2"/>
      </w:pPr>
      <w:r>
        <w:rPr/>
        <w:t>Culvert pipes may be used in lieu of a bridge structure provided controls specified in Section 1006 are not exceeded for the design year discharge.</w:t>
      </w:r>
    </w:p>
    <w:p>
      <w:pPr>
        <w:pStyle w:val="BodyText"/>
        <w:spacing w:before="8"/>
        <w:rPr>
          <w:sz w:val="19"/>
        </w:rPr>
      </w:pPr>
    </w:p>
    <w:p>
      <w:pPr>
        <w:pStyle w:val="BodyText"/>
        <w:ind w:left="118"/>
      </w:pPr>
      <w:r>
        <w:rPr/>
        <w:t>Refer to Section 500 of the Bridge Design Manual for other details regarding temporary structures.</w:t>
      </w:r>
    </w:p>
    <w:p>
      <w:pPr>
        <w:pStyle w:val="BodyText"/>
        <w:spacing w:before="3"/>
      </w:pPr>
    </w:p>
    <w:p>
      <w:pPr>
        <w:spacing w:before="0"/>
        <w:ind w:left="108" w:right="0" w:firstLine="0"/>
        <w:jc w:val="left"/>
        <w:rPr>
          <w:sz w:val="28"/>
        </w:rPr>
      </w:pPr>
      <w:r>
        <w:rPr>
          <w:w w:val="105"/>
          <w:sz w:val="28"/>
        </w:rPr>
        <w:t>1012 Waterway Permit Hydraulic</w:t>
      </w:r>
      <w:r>
        <w:rPr>
          <w:spacing w:val="53"/>
          <w:w w:val="105"/>
          <w:sz w:val="28"/>
        </w:rPr>
        <w:t> </w:t>
      </w:r>
      <w:r>
        <w:rPr>
          <w:w w:val="105"/>
          <w:sz w:val="28"/>
        </w:rPr>
        <w:t>Analysis</w:t>
      </w:r>
    </w:p>
    <w:p>
      <w:pPr>
        <w:pStyle w:val="BodyText"/>
        <w:spacing w:before="238"/>
        <w:ind w:left="116" w:right="124" w:firstLine="3"/>
        <w:jc w:val="both"/>
      </w:pPr>
      <w:r>
        <w:rPr/>
        <w:t>A hydraulic analysis is required when Temporary Access Fill is proposed in a waterway. This information is</w:t>
      </w:r>
      <w:r>
        <w:rPr>
          <w:spacing w:val="-14"/>
        </w:rPr>
        <w:t> </w:t>
      </w:r>
      <w:r>
        <w:rPr/>
        <w:t>intended</w:t>
      </w:r>
      <w:r>
        <w:rPr>
          <w:spacing w:val="-9"/>
        </w:rPr>
        <w:t> </w:t>
      </w:r>
      <w:r>
        <w:rPr/>
        <w:t>for</w:t>
      </w:r>
      <w:r>
        <w:rPr>
          <w:spacing w:val="-11"/>
        </w:rPr>
        <w:t> </w:t>
      </w:r>
      <w:r>
        <w:rPr/>
        <w:t>permit</w:t>
      </w:r>
      <w:r>
        <w:rPr>
          <w:spacing w:val="-8"/>
        </w:rPr>
        <w:t> </w:t>
      </w:r>
      <w:r>
        <w:rPr/>
        <w:t>application</w:t>
      </w:r>
      <w:r>
        <w:rPr>
          <w:spacing w:val="-9"/>
        </w:rPr>
        <w:t> </w:t>
      </w:r>
      <w:r>
        <w:rPr/>
        <w:t>purposes</w:t>
      </w:r>
      <w:r>
        <w:rPr>
          <w:spacing w:val="-14"/>
        </w:rPr>
        <w:t> </w:t>
      </w:r>
      <w:r>
        <w:rPr/>
        <w:t>and</w:t>
      </w:r>
      <w:r>
        <w:rPr>
          <w:spacing w:val="-16"/>
        </w:rPr>
        <w:t> </w:t>
      </w:r>
      <w:r>
        <w:rPr/>
        <w:t>determining</w:t>
      </w:r>
      <w:r>
        <w:rPr>
          <w:spacing w:val="-4"/>
        </w:rPr>
        <w:t> </w:t>
      </w:r>
      <w:r>
        <w:rPr/>
        <w:t>if</w:t>
      </w:r>
      <w:r>
        <w:rPr>
          <w:spacing w:val="-15"/>
        </w:rPr>
        <w:t> </w:t>
      </w:r>
      <w:r>
        <w:rPr/>
        <w:t>TAF</w:t>
      </w:r>
      <w:r>
        <w:rPr>
          <w:spacing w:val="-13"/>
        </w:rPr>
        <w:t> </w:t>
      </w:r>
      <w:r>
        <w:rPr/>
        <w:t>standard</w:t>
      </w:r>
      <w:r>
        <w:rPr>
          <w:spacing w:val="-4"/>
        </w:rPr>
        <w:t> </w:t>
      </w:r>
      <w:r>
        <w:rPr/>
        <w:t>conditions</w:t>
      </w:r>
      <w:r>
        <w:rPr>
          <w:spacing w:val="-3"/>
        </w:rPr>
        <w:t> </w:t>
      </w:r>
      <w:r>
        <w:rPr/>
        <w:t>contained</w:t>
      </w:r>
      <w:r>
        <w:rPr>
          <w:spacing w:val="-6"/>
        </w:rPr>
        <w:t> </w:t>
      </w:r>
      <w:r>
        <w:rPr/>
        <w:t>within</w:t>
      </w:r>
      <w:r>
        <w:rPr>
          <w:spacing w:val="-15"/>
        </w:rPr>
        <w:t> </w:t>
      </w:r>
      <w:r>
        <w:rPr/>
        <w:t>the Waterway Permit Special Provisions are obtainable. This information should not be included in the project plan set. Perform the</w:t>
      </w:r>
      <w:r>
        <w:rPr>
          <w:spacing w:val="19"/>
        </w:rPr>
        <w:t> </w:t>
      </w:r>
      <w:r>
        <w:rPr/>
        <w:t>following:</w:t>
      </w:r>
    </w:p>
    <w:p>
      <w:pPr>
        <w:pStyle w:val="BodyText"/>
        <w:spacing w:before="2"/>
      </w:pPr>
    </w:p>
    <w:p>
      <w:pPr>
        <w:pStyle w:val="ListParagraph"/>
        <w:numPr>
          <w:ilvl w:val="0"/>
          <w:numId w:val="2"/>
        </w:numPr>
        <w:tabs>
          <w:tab w:pos="479" w:val="left" w:leader="none"/>
        </w:tabs>
        <w:spacing w:line="240" w:lineRule="auto" w:before="0" w:after="0"/>
        <w:ind w:left="476" w:right="571" w:hanging="356"/>
        <w:jc w:val="both"/>
        <w:rPr>
          <w:sz w:val="20"/>
        </w:rPr>
      </w:pPr>
      <w:r>
        <w:rPr>
          <w:sz w:val="20"/>
        </w:rPr>
        <w:t>Determine the highest average monthly flow from USGS StreamStats (ie: largest of Q1, Q2, Q3...Q12). If a delineation is not feasible in USGS StreamStats, notify the District Environmental Coordinator. Provide technical assistance to determine an appropriate means for obtaining the appropriate design</w:t>
      </w:r>
      <w:r>
        <w:rPr>
          <w:spacing w:val="-23"/>
          <w:sz w:val="20"/>
        </w:rPr>
        <w:t> </w:t>
      </w:r>
      <w:r>
        <w:rPr>
          <w:sz w:val="20"/>
        </w:rPr>
        <w:t>flow.</w:t>
      </w:r>
    </w:p>
    <w:p>
      <w:pPr>
        <w:pStyle w:val="BodyText"/>
        <w:spacing w:before="8"/>
        <w:rPr>
          <w:sz w:val="19"/>
        </w:rPr>
      </w:pPr>
    </w:p>
    <w:p>
      <w:pPr>
        <w:pStyle w:val="ListParagraph"/>
        <w:numPr>
          <w:ilvl w:val="0"/>
          <w:numId w:val="2"/>
        </w:numPr>
        <w:tabs>
          <w:tab w:pos="480" w:val="left" w:leader="none"/>
        </w:tabs>
        <w:spacing w:line="240" w:lineRule="auto" w:before="1" w:after="0"/>
        <w:ind w:left="479" w:right="0" w:hanging="360"/>
        <w:jc w:val="both"/>
        <w:rPr>
          <w:sz w:val="20"/>
        </w:rPr>
      </w:pPr>
      <w:r>
        <w:rPr>
          <w:sz w:val="20"/>
        </w:rPr>
        <w:t>Multiply the highest monthly flow by 2 to determine the Standard Temporary Discharge</w:t>
      </w:r>
      <w:r>
        <w:rPr>
          <w:spacing w:val="30"/>
          <w:sz w:val="20"/>
        </w:rPr>
        <w:t> </w:t>
      </w:r>
      <w:r>
        <w:rPr>
          <w:sz w:val="20"/>
        </w:rPr>
        <w:t>(STD).</w:t>
      </w:r>
    </w:p>
    <w:p>
      <w:pPr>
        <w:spacing w:after="0" w:line="240" w:lineRule="auto"/>
        <w:jc w:val="both"/>
        <w:rPr>
          <w:sz w:val="20"/>
        </w:rPr>
        <w:sectPr>
          <w:footerReference w:type="default" r:id="rId5"/>
          <w:type w:val="continuous"/>
          <w:pgSz w:w="12240" w:h="15840"/>
          <w:pgMar w:footer="511" w:top="660" w:bottom="700" w:left="1320" w:right="1320"/>
        </w:sectPr>
      </w:pPr>
    </w:p>
    <w:p>
      <w:pPr>
        <w:spacing w:before="75"/>
        <w:ind w:left="0" w:right="219" w:firstLine="0"/>
        <w:jc w:val="right"/>
        <w:rPr>
          <w:sz w:val="24"/>
        </w:rPr>
      </w:pPr>
      <w:r>
        <w:rPr>
          <w:w w:val="105"/>
          <w:sz w:val="24"/>
        </w:rPr>
        <w:t>Drainage Design Criteria</w:t>
      </w:r>
    </w:p>
    <w:p>
      <w:pPr>
        <w:pStyle w:val="BodyText"/>
      </w:pPr>
    </w:p>
    <w:p>
      <w:pPr>
        <w:pStyle w:val="BodyText"/>
        <w:spacing w:before="6"/>
        <w:rPr>
          <w:sz w:val="18"/>
        </w:rPr>
      </w:pPr>
    </w:p>
    <w:p>
      <w:pPr>
        <w:pStyle w:val="ListParagraph"/>
        <w:numPr>
          <w:ilvl w:val="0"/>
          <w:numId w:val="2"/>
        </w:numPr>
        <w:tabs>
          <w:tab w:pos="479" w:val="left" w:leader="none"/>
        </w:tabs>
        <w:spacing w:line="240" w:lineRule="auto" w:before="1" w:after="0"/>
        <w:ind w:left="478" w:right="585" w:hanging="359"/>
        <w:jc w:val="both"/>
        <w:rPr>
          <w:sz w:val="20"/>
        </w:rPr>
      </w:pPr>
      <w:r>
        <w:rPr>
          <w:sz w:val="20"/>
        </w:rPr>
        <w:t>Determine</w:t>
      </w:r>
      <w:r>
        <w:rPr>
          <w:spacing w:val="-7"/>
          <w:sz w:val="20"/>
        </w:rPr>
        <w:t> </w:t>
      </w:r>
      <w:r>
        <w:rPr>
          <w:sz w:val="20"/>
        </w:rPr>
        <w:t>the</w:t>
      </w:r>
      <w:r>
        <w:rPr>
          <w:spacing w:val="-13"/>
          <w:sz w:val="20"/>
        </w:rPr>
        <w:t> </w:t>
      </w:r>
      <w:r>
        <w:rPr>
          <w:sz w:val="20"/>
        </w:rPr>
        <w:t>water</w:t>
      </w:r>
      <w:r>
        <w:rPr>
          <w:spacing w:val="-11"/>
          <w:sz w:val="20"/>
        </w:rPr>
        <w:t> </w:t>
      </w:r>
      <w:r>
        <w:rPr>
          <w:sz w:val="20"/>
        </w:rPr>
        <w:t>surface</w:t>
      </w:r>
      <w:r>
        <w:rPr>
          <w:spacing w:val="-8"/>
          <w:sz w:val="20"/>
        </w:rPr>
        <w:t> </w:t>
      </w:r>
      <w:r>
        <w:rPr>
          <w:sz w:val="20"/>
        </w:rPr>
        <w:t>elevation</w:t>
      </w:r>
      <w:r>
        <w:rPr>
          <w:spacing w:val="-7"/>
          <w:sz w:val="20"/>
        </w:rPr>
        <w:t> </w:t>
      </w:r>
      <w:r>
        <w:rPr>
          <w:sz w:val="20"/>
        </w:rPr>
        <w:t>from</w:t>
      </w:r>
      <w:r>
        <w:rPr>
          <w:spacing w:val="-14"/>
          <w:sz w:val="20"/>
        </w:rPr>
        <w:t> </w:t>
      </w:r>
      <w:r>
        <w:rPr>
          <w:sz w:val="20"/>
        </w:rPr>
        <w:t>the</w:t>
      </w:r>
      <w:r>
        <w:rPr>
          <w:spacing w:val="-16"/>
          <w:sz w:val="20"/>
        </w:rPr>
        <w:t> </w:t>
      </w:r>
      <w:r>
        <w:rPr>
          <w:sz w:val="20"/>
        </w:rPr>
        <w:t>STD</w:t>
      </w:r>
      <w:r>
        <w:rPr>
          <w:spacing w:val="-17"/>
          <w:sz w:val="20"/>
        </w:rPr>
        <w:t> </w:t>
      </w:r>
      <w:r>
        <w:rPr>
          <w:sz w:val="20"/>
        </w:rPr>
        <w:t>in</w:t>
      </w:r>
      <w:r>
        <w:rPr>
          <w:spacing w:val="-20"/>
          <w:sz w:val="20"/>
        </w:rPr>
        <w:t> </w:t>
      </w:r>
      <w:r>
        <w:rPr>
          <w:sz w:val="20"/>
        </w:rPr>
        <w:t>the</w:t>
      </w:r>
      <w:r>
        <w:rPr>
          <w:spacing w:val="-19"/>
          <w:sz w:val="20"/>
        </w:rPr>
        <w:t> </w:t>
      </w:r>
      <w:r>
        <w:rPr>
          <w:sz w:val="20"/>
        </w:rPr>
        <w:t>channel</w:t>
      </w:r>
      <w:r>
        <w:rPr>
          <w:spacing w:val="-7"/>
          <w:sz w:val="20"/>
        </w:rPr>
        <w:t> </w:t>
      </w:r>
      <w:r>
        <w:rPr>
          <w:sz w:val="20"/>
        </w:rPr>
        <w:t>cross-section</w:t>
      </w:r>
      <w:r>
        <w:rPr>
          <w:spacing w:val="2"/>
          <w:sz w:val="20"/>
        </w:rPr>
        <w:t> </w:t>
      </w:r>
      <w:r>
        <w:rPr>
          <w:sz w:val="20"/>
        </w:rPr>
        <w:t>using</w:t>
      </w:r>
      <w:r>
        <w:rPr>
          <w:spacing w:val="-15"/>
          <w:sz w:val="20"/>
        </w:rPr>
        <w:t> </w:t>
      </w:r>
      <w:r>
        <w:rPr>
          <w:sz w:val="20"/>
        </w:rPr>
        <w:t>Manning’s open channel equation. Use the design hydraulic model if a model was required for hydraulic design.</w:t>
      </w:r>
    </w:p>
    <w:p>
      <w:pPr>
        <w:pStyle w:val="BodyText"/>
        <w:spacing w:before="1"/>
      </w:pPr>
    </w:p>
    <w:p>
      <w:pPr>
        <w:pStyle w:val="ListParagraph"/>
        <w:numPr>
          <w:ilvl w:val="0"/>
          <w:numId w:val="2"/>
        </w:numPr>
        <w:tabs>
          <w:tab w:pos="479" w:val="left" w:leader="none"/>
        </w:tabs>
        <w:spacing w:line="240" w:lineRule="auto" w:before="0" w:after="0"/>
        <w:ind w:left="476" w:right="576" w:hanging="357"/>
        <w:jc w:val="both"/>
        <w:rPr>
          <w:sz w:val="20"/>
        </w:rPr>
      </w:pPr>
      <w:r>
        <w:rPr>
          <w:sz w:val="20"/>
        </w:rPr>
        <w:t>Provide hydraulic analysis of the permitted Temporary Access Fill constructed to 1-foot above OHWM elevation. Coordinate this analysis with the District Environmental Coordinator (DEC). Determine if culverts and/or partial width construction are feasible to maintain the required Hydraulic</w:t>
      </w:r>
      <w:r>
        <w:rPr>
          <w:spacing w:val="-8"/>
          <w:sz w:val="20"/>
        </w:rPr>
        <w:t> </w:t>
      </w:r>
      <w:r>
        <w:rPr>
          <w:sz w:val="20"/>
        </w:rPr>
        <w:t>Opening.</w:t>
      </w:r>
      <w:r>
        <w:rPr>
          <w:spacing w:val="27"/>
          <w:sz w:val="20"/>
        </w:rPr>
        <w:t> </w:t>
      </w:r>
      <w:r>
        <w:rPr>
          <w:sz w:val="20"/>
        </w:rPr>
        <w:t>The</w:t>
      </w:r>
      <w:r>
        <w:rPr>
          <w:spacing w:val="-17"/>
          <w:sz w:val="20"/>
        </w:rPr>
        <w:t> </w:t>
      </w:r>
      <w:r>
        <w:rPr>
          <w:sz w:val="20"/>
        </w:rPr>
        <w:t>Hydraulic</w:t>
      </w:r>
      <w:r>
        <w:rPr>
          <w:spacing w:val="-7"/>
          <w:sz w:val="20"/>
        </w:rPr>
        <w:t> </w:t>
      </w:r>
      <w:r>
        <w:rPr>
          <w:sz w:val="20"/>
        </w:rPr>
        <w:t>Opening</w:t>
      </w:r>
      <w:r>
        <w:rPr>
          <w:spacing w:val="-12"/>
          <w:sz w:val="20"/>
        </w:rPr>
        <w:t> </w:t>
      </w:r>
      <w:r>
        <w:rPr>
          <w:sz w:val="20"/>
        </w:rPr>
        <w:t>as</w:t>
      </w:r>
      <w:r>
        <w:rPr>
          <w:spacing w:val="-21"/>
          <w:sz w:val="20"/>
        </w:rPr>
        <w:t> </w:t>
      </w:r>
      <w:r>
        <w:rPr>
          <w:sz w:val="20"/>
        </w:rPr>
        <w:t>defined</w:t>
      </w:r>
      <w:r>
        <w:rPr>
          <w:spacing w:val="-14"/>
          <w:sz w:val="20"/>
        </w:rPr>
        <w:t> </w:t>
      </w:r>
      <w:r>
        <w:rPr>
          <w:sz w:val="20"/>
        </w:rPr>
        <w:t>in</w:t>
      </w:r>
      <w:r>
        <w:rPr>
          <w:spacing w:val="-19"/>
          <w:sz w:val="20"/>
        </w:rPr>
        <w:t> </w:t>
      </w:r>
      <w:r>
        <w:rPr>
          <w:sz w:val="20"/>
        </w:rPr>
        <w:t>the</w:t>
      </w:r>
      <w:r>
        <w:rPr>
          <w:spacing w:val="-20"/>
          <w:sz w:val="20"/>
        </w:rPr>
        <w:t> </w:t>
      </w:r>
      <w:r>
        <w:rPr>
          <w:sz w:val="20"/>
        </w:rPr>
        <w:t>Waterway</w:t>
      </w:r>
      <w:r>
        <w:rPr>
          <w:spacing w:val="-7"/>
          <w:sz w:val="20"/>
        </w:rPr>
        <w:t> </w:t>
      </w:r>
      <w:r>
        <w:rPr>
          <w:sz w:val="20"/>
        </w:rPr>
        <w:t>Special</w:t>
      </w:r>
      <w:r>
        <w:rPr>
          <w:spacing w:val="-13"/>
          <w:sz w:val="20"/>
        </w:rPr>
        <w:t> </w:t>
      </w:r>
      <w:r>
        <w:rPr>
          <w:sz w:val="20"/>
        </w:rPr>
        <w:t>Provisions</w:t>
      </w:r>
      <w:r>
        <w:rPr>
          <w:spacing w:val="-7"/>
          <w:sz w:val="20"/>
        </w:rPr>
        <w:t> </w:t>
      </w:r>
      <w:r>
        <w:rPr>
          <w:sz w:val="20"/>
        </w:rPr>
        <w:t>is</w:t>
      </w:r>
      <w:r>
        <w:rPr>
          <w:spacing w:val="-18"/>
          <w:sz w:val="20"/>
        </w:rPr>
        <w:t> </w:t>
      </w:r>
      <w:r>
        <w:rPr>
          <w:sz w:val="20"/>
        </w:rPr>
        <w:t>“The cross-sectional area allowing an unimpeded discharge equal to twice the highest monthly flow without producing a rise in backwater above the</w:t>
      </w:r>
      <w:r>
        <w:rPr>
          <w:spacing w:val="41"/>
          <w:sz w:val="20"/>
        </w:rPr>
        <w:t> </w:t>
      </w:r>
      <w:r>
        <w:rPr>
          <w:sz w:val="20"/>
        </w:rPr>
        <w:t>OHWM."</w:t>
      </w:r>
    </w:p>
    <w:p>
      <w:pPr>
        <w:pStyle w:val="BodyText"/>
        <w:spacing w:before="8"/>
        <w:rPr>
          <w:sz w:val="11"/>
        </w:rPr>
      </w:pPr>
    </w:p>
    <w:p>
      <w:pPr>
        <w:pStyle w:val="ListParagraph"/>
        <w:numPr>
          <w:ilvl w:val="1"/>
          <w:numId w:val="2"/>
        </w:numPr>
        <w:tabs>
          <w:tab w:pos="836" w:val="left" w:leader="none"/>
        </w:tabs>
        <w:spacing w:line="240" w:lineRule="auto" w:before="94" w:after="0"/>
        <w:ind w:left="836" w:right="576" w:hanging="359"/>
        <w:jc w:val="both"/>
        <w:rPr>
          <w:sz w:val="20"/>
        </w:rPr>
      </w:pPr>
      <w:r>
        <w:rPr>
          <w:sz w:val="20"/>
        </w:rPr>
        <w:t>If</w:t>
      </w:r>
      <w:r>
        <w:rPr>
          <w:spacing w:val="-17"/>
          <w:sz w:val="20"/>
        </w:rPr>
        <w:t> </w:t>
      </w:r>
      <w:r>
        <w:rPr>
          <w:sz w:val="20"/>
        </w:rPr>
        <w:t>it</w:t>
      </w:r>
      <w:r>
        <w:rPr>
          <w:spacing w:val="-20"/>
          <w:sz w:val="20"/>
        </w:rPr>
        <w:t> </w:t>
      </w:r>
      <w:r>
        <w:rPr>
          <w:sz w:val="20"/>
        </w:rPr>
        <w:t>is</w:t>
      </w:r>
      <w:r>
        <w:rPr>
          <w:spacing w:val="-15"/>
          <w:sz w:val="20"/>
        </w:rPr>
        <w:t> </w:t>
      </w:r>
      <w:r>
        <w:rPr>
          <w:sz w:val="20"/>
        </w:rPr>
        <w:t>determined</w:t>
      </w:r>
      <w:r>
        <w:rPr>
          <w:spacing w:val="-3"/>
          <w:sz w:val="20"/>
        </w:rPr>
        <w:t> </w:t>
      </w:r>
      <w:r>
        <w:rPr>
          <w:sz w:val="20"/>
        </w:rPr>
        <w:t>that</w:t>
      </w:r>
      <w:r>
        <w:rPr>
          <w:spacing w:val="-11"/>
          <w:sz w:val="20"/>
        </w:rPr>
        <w:t> </w:t>
      </w:r>
      <w:r>
        <w:rPr>
          <w:sz w:val="20"/>
        </w:rPr>
        <w:t>the</w:t>
      </w:r>
      <w:r>
        <w:rPr>
          <w:spacing w:val="-15"/>
          <w:sz w:val="20"/>
        </w:rPr>
        <w:t> </w:t>
      </w:r>
      <w:r>
        <w:rPr>
          <w:sz w:val="20"/>
        </w:rPr>
        <w:t>TAF</w:t>
      </w:r>
      <w:r>
        <w:rPr>
          <w:spacing w:val="-17"/>
          <w:sz w:val="20"/>
        </w:rPr>
        <w:t> </w:t>
      </w:r>
      <w:r>
        <w:rPr>
          <w:sz w:val="20"/>
        </w:rPr>
        <w:t>can</w:t>
      </w:r>
      <w:r>
        <w:rPr>
          <w:spacing w:val="-18"/>
          <w:sz w:val="20"/>
        </w:rPr>
        <w:t> </w:t>
      </w:r>
      <w:r>
        <w:rPr>
          <w:sz w:val="20"/>
        </w:rPr>
        <w:t>be</w:t>
      </w:r>
      <w:r>
        <w:rPr>
          <w:spacing w:val="-21"/>
          <w:sz w:val="20"/>
        </w:rPr>
        <w:t> </w:t>
      </w:r>
      <w:r>
        <w:rPr>
          <w:sz w:val="20"/>
        </w:rPr>
        <w:t>constructed</w:t>
      </w:r>
      <w:r>
        <w:rPr>
          <w:spacing w:val="1"/>
          <w:sz w:val="20"/>
        </w:rPr>
        <w:t> </w:t>
      </w:r>
      <w:r>
        <w:rPr>
          <w:sz w:val="20"/>
        </w:rPr>
        <w:t>with</w:t>
      </w:r>
      <w:r>
        <w:rPr>
          <w:spacing w:val="-15"/>
          <w:sz w:val="20"/>
        </w:rPr>
        <w:t> </w:t>
      </w:r>
      <w:r>
        <w:rPr>
          <w:sz w:val="20"/>
        </w:rPr>
        <w:t>the</w:t>
      </w:r>
      <w:r>
        <w:rPr>
          <w:spacing w:val="-18"/>
          <w:sz w:val="20"/>
        </w:rPr>
        <w:t> </w:t>
      </w:r>
      <w:r>
        <w:rPr>
          <w:sz w:val="20"/>
        </w:rPr>
        <w:t>required</w:t>
      </w:r>
      <w:r>
        <w:rPr>
          <w:spacing w:val="-13"/>
          <w:sz w:val="20"/>
        </w:rPr>
        <w:t> </w:t>
      </w:r>
      <w:r>
        <w:rPr>
          <w:sz w:val="20"/>
        </w:rPr>
        <w:t>Hydraulic</w:t>
      </w:r>
      <w:r>
        <w:rPr>
          <w:spacing w:val="-5"/>
          <w:sz w:val="20"/>
        </w:rPr>
        <w:t> </w:t>
      </w:r>
      <w:r>
        <w:rPr>
          <w:sz w:val="20"/>
        </w:rPr>
        <w:t>Opening,</w:t>
      </w:r>
      <w:r>
        <w:rPr>
          <w:spacing w:val="-6"/>
          <w:sz w:val="20"/>
        </w:rPr>
        <w:t> </w:t>
      </w:r>
      <w:r>
        <w:rPr>
          <w:sz w:val="20"/>
        </w:rPr>
        <w:t>record this discharge on the temporary access fill checklist, which is a component of the Permit Determination Request (PDR). Indicate that the project meets the flow requirements on the checklist.</w:t>
      </w:r>
    </w:p>
    <w:p>
      <w:pPr>
        <w:pStyle w:val="BodyText"/>
        <w:spacing w:before="10"/>
        <w:rPr>
          <w:sz w:val="17"/>
        </w:rPr>
      </w:pPr>
    </w:p>
    <w:p>
      <w:pPr>
        <w:pStyle w:val="ListParagraph"/>
        <w:numPr>
          <w:ilvl w:val="1"/>
          <w:numId w:val="2"/>
        </w:numPr>
        <w:tabs>
          <w:tab w:pos="836" w:val="left" w:leader="none"/>
        </w:tabs>
        <w:spacing w:line="237" w:lineRule="auto" w:before="0" w:after="0"/>
        <w:ind w:left="835" w:right="576" w:hanging="357"/>
        <w:jc w:val="both"/>
        <w:rPr>
          <w:sz w:val="23"/>
        </w:rPr>
      </w:pPr>
      <w:r>
        <w:rPr>
          <w:sz w:val="20"/>
        </w:rPr>
        <w:t>If it is determined that the TAF cannot be constructed with the required Hydraulic Opening, record the STD on the temporary access fill checklist, which is a component of the PDR. Indicate that the project does not meet the flow requirements on the checklist. For projects that</w:t>
      </w:r>
      <w:r>
        <w:rPr>
          <w:spacing w:val="-15"/>
          <w:sz w:val="20"/>
        </w:rPr>
        <w:t> </w:t>
      </w:r>
      <w:r>
        <w:rPr>
          <w:sz w:val="20"/>
        </w:rPr>
        <w:t>cannot</w:t>
      </w:r>
      <w:r>
        <w:rPr>
          <w:spacing w:val="-11"/>
          <w:sz w:val="20"/>
        </w:rPr>
        <w:t> </w:t>
      </w:r>
      <w:r>
        <w:rPr>
          <w:sz w:val="20"/>
        </w:rPr>
        <w:t>provide</w:t>
      </w:r>
      <w:r>
        <w:rPr>
          <w:spacing w:val="-11"/>
          <w:sz w:val="20"/>
        </w:rPr>
        <w:t> </w:t>
      </w:r>
      <w:r>
        <w:rPr>
          <w:sz w:val="20"/>
        </w:rPr>
        <w:t>a</w:t>
      </w:r>
      <w:r>
        <w:rPr>
          <w:spacing w:val="-15"/>
          <w:sz w:val="20"/>
        </w:rPr>
        <w:t> </w:t>
      </w:r>
      <w:r>
        <w:rPr>
          <w:sz w:val="20"/>
        </w:rPr>
        <w:t>Temporary</w:t>
      </w:r>
      <w:r>
        <w:rPr>
          <w:spacing w:val="-1"/>
          <w:sz w:val="20"/>
        </w:rPr>
        <w:t> </w:t>
      </w:r>
      <w:r>
        <w:rPr>
          <w:sz w:val="20"/>
        </w:rPr>
        <w:t>Access</w:t>
      </w:r>
      <w:r>
        <w:rPr>
          <w:spacing w:val="-8"/>
          <w:sz w:val="20"/>
        </w:rPr>
        <w:t> </w:t>
      </w:r>
      <w:r>
        <w:rPr>
          <w:sz w:val="20"/>
        </w:rPr>
        <w:t>Fill</w:t>
      </w:r>
      <w:r>
        <w:rPr>
          <w:spacing w:val="-10"/>
          <w:sz w:val="20"/>
        </w:rPr>
        <w:t> </w:t>
      </w:r>
      <w:r>
        <w:rPr>
          <w:sz w:val="20"/>
        </w:rPr>
        <w:t>with</w:t>
      </w:r>
      <w:r>
        <w:rPr>
          <w:spacing w:val="-16"/>
          <w:sz w:val="20"/>
        </w:rPr>
        <w:t> </w:t>
      </w:r>
      <w:r>
        <w:rPr>
          <w:sz w:val="20"/>
        </w:rPr>
        <w:t>the</w:t>
      </w:r>
      <w:r>
        <w:rPr>
          <w:spacing w:val="-17"/>
          <w:sz w:val="20"/>
        </w:rPr>
        <w:t> </w:t>
      </w:r>
      <w:r>
        <w:rPr>
          <w:sz w:val="20"/>
        </w:rPr>
        <w:t>required</w:t>
      </w:r>
      <w:r>
        <w:rPr>
          <w:spacing w:val="-11"/>
          <w:sz w:val="20"/>
        </w:rPr>
        <w:t> </w:t>
      </w:r>
      <w:r>
        <w:rPr>
          <w:sz w:val="20"/>
        </w:rPr>
        <w:t>Hydraulic</w:t>
      </w:r>
      <w:r>
        <w:rPr>
          <w:spacing w:val="-3"/>
          <w:sz w:val="20"/>
        </w:rPr>
        <w:t> </w:t>
      </w:r>
      <w:r>
        <w:rPr>
          <w:sz w:val="20"/>
        </w:rPr>
        <w:t>Opening,</w:t>
      </w:r>
      <w:r>
        <w:rPr>
          <w:spacing w:val="-5"/>
          <w:sz w:val="20"/>
        </w:rPr>
        <w:t> </w:t>
      </w:r>
      <w:r>
        <w:rPr>
          <w:sz w:val="20"/>
        </w:rPr>
        <w:t>perform</w:t>
      </w:r>
      <w:r>
        <w:rPr>
          <w:spacing w:val="-6"/>
          <w:sz w:val="20"/>
        </w:rPr>
        <w:t> </w:t>
      </w:r>
      <w:r>
        <w:rPr>
          <w:sz w:val="20"/>
        </w:rPr>
        <w:t>the following:</w:t>
      </w:r>
    </w:p>
    <w:p>
      <w:pPr>
        <w:pStyle w:val="BodyText"/>
        <w:spacing w:before="6"/>
      </w:pPr>
    </w:p>
    <w:p>
      <w:pPr>
        <w:pStyle w:val="ListParagraph"/>
        <w:numPr>
          <w:ilvl w:val="2"/>
          <w:numId w:val="2"/>
        </w:numPr>
        <w:tabs>
          <w:tab w:pos="1200" w:val="left" w:leader="none"/>
        </w:tabs>
        <w:spacing w:line="240" w:lineRule="auto" w:before="0" w:after="0"/>
        <w:ind w:left="1195" w:right="0" w:hanging="358"/>
        <w:jc w:val="left"/>
        <w:rPr>
          <w:sz w:val="20"/>
        </w:rPr>
      </w:pPr>
      <w:r>
        <w:rPr>
          <w:sz w:val="20"/>
        </w:rPr>
        <w:t>Notify the</w:t>
      </w:r>
      <w:r>
        <w:rPr>
          <w:spacing w:val="-26"/>
          <w:sz w:val="20"/>
        </w:rPr>
        <w:t> </w:t>
      </w:r>
      <w:r>
        <w:rPr>
          <w:sz w:val="20"/>
        </w:rPr>
        <w:t>DEC.</w:t>
      </w:r>
    </w:p>
    <w:p>
      <w:pPr>
        <w:pStyle w:val="BodyText"/>
        <w:spacing w:before="6"/>
        <w:rPr>
          <w:sz w:val="11"/>
        </w:rPr>
      </w:pPr>
    </w:p>
    <w:p>
      <w:pPr>
        <w:pStyle w:val="ListParagraph"/>
        <w:numPr>
          <w:ilvl w:val="2"/>
          <w:numId w:val="2"/>
        </w:numPr>
        <w:tabs>
          <w:tab w:pos="1199" w:val="left" w:leader="none"/>
        </w:tabs>
        <w:spacing w:line="240" w:lineRule="auto" w:before="94" w:after="0"/>
        <w:ind w:left="1195" w:right="572" w:hanging="359"/>
        <w:jc w:val="both"/>
        <w:rPr>
          <w:sz w:val="20"/>
        </w:rPr>
      </w:pPr>
      <w:r>
        <w:rPr>
          <w:sz w:val="20"/>
        </w:rPr>
        <w:t>Perform hydraulic analyses to establish alternative parameters for setting the required STD and TAF as necessary for inclusion into the Waterway Special Provisions. Coordinate the hydraulic analyses with the District Environmental Coordinator, Office of Construction Administration and Office of Environmental Services. The purpose of this analysis is to establish a preliminary design of the TAF for use by the Department when setting contract requirements associated with waterway permitted fills. Provide technical assistance to the Department as necessary for re-evaluating the OHWM, lowering the TAF</w:t>
      </w:r>
      <w:r>
        <w:rPr>
          <w:spacing w:val="-22"/>
          <w:sz w:val="20"/>
        </w:rPr>
        <w:t> </w:t>
      </w:r>
      <w:r>
        <w:rPr>
          <w:sz w:val="20"/>
        </w:rPr>
        <w:t>required</w:t>
      </w:r>
      <w:r>
        <w:rPr>
          <w:spacing w:val="-18"/>
          <w:sz w:val="20"/>
        </w:rPr>
        <w:t> </w:t>
      </w:r>
      <w:r>
        <w:rPr>
          <w:sz w:val="20"/>
        </w:rPr>
        <w:t>elevation,</w:t>
      </w:r>
      <w:r>
        <w:rPr>
          <w:spacing w:val="-9"/>
          <w:sz w:val="20"/>
        </w:rPr>
        <w:t> </w:t>
      </w:r>
      <w:r>
        <w:rPr>
          <w:sz w:val="20"/>
        </w:rPr>
        <w:t>raising</w:t>
      </w:r>
      <w:r>
        <w:rPr>
          <w:spacing w:val="-18"/>
          <w:sz w:val="20"/>
        </w:rPr>
        <w:t> </w:t>
      </w:r>
      <w:r>
        <w:rPr>
          <w:sz w:val="20"/>
        </w:rPr>
        <w:t>the</w:t>
      </w:r>
      <w:r>
        <w:rPr>
          <w:spacing w:val="-21"/>
          <w:sz w:val="20"/>
        </w:rPr>
        <w:t> </w:t>
      </w:r>
      <w:r>
        <w:rPr>
          <w:sz w:val="20"/>
        </w:rPr>
        <w:t>allowable</w:t>
      </w:r>
      <w:r>
        <w:rPr>
          <w:spacing w:val="-11"/>
          <w:sz w:val="20"/>
        </w:rPr>
        <w:t> </w:t>
      </w:r>
      <w:r>
        <w:rPr>
          <w:sz w:val="20"/>
        </w:rPr>
        <w:t>backwater</w:t>
      </w:r>
      <w:r>
        <w:rPr>
          <w:spacing w:val="-9"/>
          <w:sz w:val="20"/>
        </w:rPr>
        <w:t> </w:t>
      </w:r>
      <w:r>
        <w:rPr>
          <w:sz w:val="20"/>
        </w:rPr>
        <w:t>or</w:t>
      </w:r>
      <w:r>
        <w:rPr>
          <w:spacing w:val="-21"/>
          <w:sz w:val="20"/>
        </w:rPr>
        <w:t> </w:t>
      </w:r>
      <w:r>
        <w:rPr>
          <w:sz w:val="20"/>
        </w:rPr>
        <w:t>a</w:t>
      </w:r>
      <w:r>
        <w:rPr>
          <w:spacing w:val="-20"/>
          <w:sz w:val="20"/>
        </w:rPr>
        <w:t> </w:t>
      </w:r>
      <w:r>
        <w:rPr>
          <w:sz w:val="20"/>
        </w:rPr>
        <w:t>combination</w:t>
      </w:r>
      <w:r>
        <w:rPr>
          <w:spacing w:val="-10"/>
          <w:sz w:val="20"/>
        </w:rPr>
        <w:t> </w:t>
      </w:r>
      <w:r>
        <w:rPr>
          <w:sz w:val="20"/>
        </w:rPr>
        <w:t>of</w:t>
      </w:r>
      <w:r>
        <w:rPr>
          <w:spacing w:val="-19"/>
          <w:sz w:val="20"/>
        </w:rPr>
        <w:t> </w:t>
      </w:r>
      <w:r>
        <w:rPr>
          <w:sz w:val="20"/>
        </w:rPr>
        <w:t>these</w:t>
      </w:r>
      <w:r>
        <w:rPr>
          <w:spacing w:val="-19"/>
          <w:sz w:val="20"/>
        </w:rPr>
        <w:t> </w:t>
      </w:r>
      <w:r>
        <w:rPr>
          <w:sz w:val="20"/>
        </w:rPr>
        <w:t>options.</w:t>
      </w:r>
    </w:p>
    <w:sectPr>
      <w:footerReference w:type="default" r:id="rId6"/>
      <w:pgSz w:w="12240" w:h="15840"/>
      <w:pgMar w:footer="573" w:header="0" w:top="640" w:bottom="760" w:left="132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rebuchet MS">
    <w:altName w:val="Trebuchet MS"/>
    <w:charset w:val="0"/>
    <w:family w:val="swiss"/>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type id="_x0000_t202" o:spt="202" coordsize="21600,21600" path="m,l,21600r21600,l21600,xe">
          <v:stroke joinstyle="miter"/>
          <v:path gradientshapeok="t" o:connecttype="rect"/>
        </v:shapetype>
        <v:shape style="position:absolute;margin-left:70.856003pt;margin-top:755.437805pt;width:22.25pt;height:10.95pt;mso-position-horizontal-relative:page;mso-position-vertical-relative:page;z-index:-3424" type="#_x0000_t202" filled="false" stroked="false">
          <v:textbox inset="0,0,0,0">
            <w:txbxContent>
              <w:p>
                <w:pPr>
                  <w:spacing w:before="14"/>
                  <w:ind w:left="20" w:right="0" w:firstLine="0"/>
                  <w:jc w:val="left"/>
                  <w:rPr>
                    <w:sz w:val="16"/>
                  </w:rPr>
                </w:pPr>
                <w:r>
                  <w:rPr>
                    <w:sz w:val="16"/>
                  </w:rPr>
                  <w:t>10-20</w:t>
                </w:r>
              </w:p>
            </w:txbxContent>
          </v:textbox>
          <w10:wrap type="none"/>
        </v:shape>
      </w:pict>
    </w:r>
    <w:r>
      <w:rPr/>
      <w:pict>
        <v:shape style="position:absolute;margin-left:504.698486pt;margin-top:755.437805pt;width:35.950pt;height:10.95pt;mso-position-horizontal-relative:page;mso-position-vertical-relative:page;z-index:-3400" type="#_x0000_t202" filled="false" stroked="false">
          <v:textbox inset="0,0,0,0">
            <w:txbxContent>
              <w:p>
                <w:pPr>
                  <w:spacing w:before="14"/>
                  <w:ind w:left="20" w:right="0" w:firstLine="0"/>
                  <w:jc w:val="left"/>
                  <w:rPr>
                    <w:sz w:val="16"/>
                  </w:rPr>
                </w:pPr>
                <w:r>
                  <w:rPr>
                    <w:sz w:val="16"/>
                  </w:rPr>
                  <w:t>July 2020</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70.764664pt;margin-top:752.345154pt;width:36.2pt;height:11.5pt;mso-position-horizontal-relative:page;mso-position-vertical-relative:page;z-index:-3376" type="#_x0000_t202" filled="false" stroked="false">
          <v:textbox inset="0,0,0,0">
            <w:txbxContent>
              <w:p>
                <w:pPr>
                  <w:spacing w:before="14"/>
                  <w:ind w:left="20" w:right="0" w:firstLine="0"/>
                  <w:jc w:val="left"/>
                  <w:rPr>
                    <w:sz w:val="16"/>
                  </w:rPr>
                </w:pPr>
                <w:r>
                  <w:rPr>
                    <w:sz w:val="17"/>
                  </w:rPr>
                  <w:t>July</w:t>
                </w:r>
                <w:r>
                  <w:rPr>
                    <w:spacing w:val="-19"/>
                    <w:sz w:val="17"/>
                  </w:rPr>
                  <w:t> </w:t>
                </w:r>
                <w:r>
                  <w:rPr>
                    <w:sz w:val="16"/>
                  </w:rPr>
                  <w:t>2020</w:t>
                </w:r>
              </w:p>
            </w:txbxContent>
          </v:textbox>
          <w10:wrap type="none"/>
        </v:shape>
      </w:pict>
    </w:r>
    <w:r>
      <w:rPr/>
      <w:pict>
        <v:shape style="position:absolute;margin-left:517.736023pt;margin-top:752.5578pt;width:23.1pt;height:10.95pt;mso-position-horizontal-relative:page;mso-position-vertical-relative:page;z-index:-3352" type="#_x0000_t202" filled="false" stroked="false">
          <v:textbox inset="0,0,0,0">
            <w:txbxContent>
              <w:p>
                <w:pPr>
                  <w:spacing w:before="14"/>
                  <w:ind w:left="20" w:right="0" w:firstLine="0"/>
                  <w:jc w:val="left"/>
                  <w:rPr>
                    <w:sz w:val="16"/>
                  </w:rPr>
                </w:pPr>
                <w:r>
                  <w:rPr>
                    <w:w w:val="105"/>
                    <w:sz w:val="16"/>
                  </w:rPr>
                  <w:t>10-21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upperLetter"/>
      <w:lvlText w:val="%1."/>
      <w:lvlJc w:val="left"/>
      <w:pPr>
        <w:ind w:left="476" w:hanging="359"/>
        <w:jc w:val="left"/>
      </w:pPr>
      <w:rPr>
        <w:rFonts w:hint="default" w:ascii="Arial" w:hAnsi="Arial" w:eastAsia="Arial" w:cs="Arial"/>
        <w:spacing w:val="-1"/>
        <w:w w:val="99"/>
        <w:sz w:val="20"/>
        <w:szCs w:val="20"/>
      </w:rPr>
    </w:lvl>
    <w:lvl w:ilvl="1">
      <w:start w:val="1"/>
      <w:numFmt w:val="decimal"/>
      <w:lvlText w:val="%2."/>
      <w:lvlJc w:val="left"/>
      <w:pPr>
        <w:ind w:left="836" w:hanging="359"/>
        <w:jc w:val="left"/>
      </w:pPr>
      <w:rPr>
        <w:rFonts w:hint="default"/>
        <w:spacing w:val="-1"/>
        <w:w w:val="99"/>
      </w:rPr>
    </w:lvl>
    <w:lvl w:ilvl="2">
      <w:start w:val="1"/>
      <w:numFmt w:val="lowerLetter"/>
      <w:lvlText w:val="%3."/>
      <w:lvlJc w:val="left"/>
      <w:pPr>
        <w:ind w:left="1195" w:hanging="362"/>
        <w:jc w:val="left"/>
      </w:pPr>
      <w:rPr>
        <w:rFonts w:hint="default" w:ascii="Arial" w:hAnsi="Arial" w:eastAsia="Arial" w:cs="Arial"/>
        <w:spacing w:val="-1"/>
        <w:w w:val="99"/>
        <w:sz w:val="20"/>
        <w:szCs w:val="20"/>
      </w:rPr>
    </w:lvl>
    <w:lvl w:ilvl="3">
      <w:start w:val="0"/>
      <w:numFmt w:val="bullet"/>
      <w:lvlText w:val="•"/>
      <w:lvlJc w:val="left"/>
      <w:pPr>
        <w:ind w:left="2250" w:hanging="362"/>
      </w:pPr>
      <w:rPr>
        <w:rFonts w:hint="default"/>
      </w:rPr>
    </w:lvl>
    <w:lvl w:ilvl="4">
      <w:start w:val="0"/>
      <w:numFmt w:val="bullet"/>
      <w:lvlText w:val="•"/>
      <w:lvlJc w:val="left"/>
      <w:pPr>
        <w:ind w:left="3300" w:hanging="362"/>
      </w:pPr>
      <w:rPr>
        <w:rFonts w:hint="default"/>
      </w:rPr>
    </w:lvl>
    <w:lvl w:ilvl="5">
      <w:start w:val="0"/>
      <w:numFmt w:val="bullet"/>
      <w:lvlText w:val="•"/>
      <w:lvlJc w:val="left"/>
      <w:pPr>
        <w:ind w:left="4350" w:hanging="362"/>
      </w:pPr>
      <w:rPr>
        <w:rFonts w:hint="default"/>
      </w:rPr>
    </w:lvl>
    <w:lvl w:ilvl="6">
      <w:start w:val="0"/>
      <w:numFmt w:val="bullet"/>
      <w:lvlText w:val="•"/>
      <w:lvlJc w:val="left"/>
      <w:pPr>
        <w:ind w:left="5400" w:hanging="362"/>
      </w:pPr>
      <w:rPr>
        <w:rFonts w:hint="default"/>
      </w:rPr>
    </w:lvl>
    <w:lvl w:ilvl="7">
      <w:start w:val="0"/>
      <w:numFmt w:val="bullet"/>
      <w:lvlText w:val="•"/>
      <w:lvlJc w:val="left"/>
      <w:pPr>
        <w:ind w:left="6450" w:hanging="362"/>
      </w:pPr>
      <w:rPr>
        <w:rFonts w:hint="default"/>
      </w:rPr>
    </w:lvl>
    <w:lvl w:ilvl="8">
      <w:start w:val="0"/>
      <w:numFmt w:val="bullet"/>
      <w:lvlText w:val="•"/>
      <w:lvlJc w:val="left"/>
      <w:pPr>
        <w:ind w:left="7500" w:hanging="362"/>
      </w:pPr>
      <w:rPr>
        <w:rFonts w:hint="default"/>
      </w:rPr>
    </w:lvl>
  </w:abstractNum>
  <w:abstractNum w:abstractNumId="0">
    <w:multiLevelType w:val="hybridMultilevel"/>
    <w:lvl w:ilvl="0">
      <w:start w:val="1"/>
      <w:numFmt w:val="upperLetter"/>
      <w:lvlText w:val="%1."/>
      <w:lvlJc w:val="left"/>
      <w:pPr>
        <w:ind w:left="476" w:hanging="360"/>
        <w:jc w:val="left"/>
      </w:pPr>
      <w:rPr>
        <w:rFonts w:hint="default" w:ascii="Arial" w:hAnsi="Arial" w:eastAsia="Arial" w:cs="Arial"/>
        <w:spacing w:val="-1"/>
        <w:w w:val="99"/>
        <w:sz w:val="20"/>
        <w:szCs w:val="20"/>
      </w:rPr>
    </w:lvl>
    <w:lvl w:ilvl="1">
      <w:start w:val="0"/>
      <w:numFmt w:val="bullet"/>
      <w:lvlText w:val="•"/>
      <w:lvlJc w:val="left"/>
      <w:pPr>
        <w:ind w:left="1392" w:hanging="360"/>
      </w:pPr>
      <w:rPr>
        <w:rFonts w:hint="default"/>
      </w:rPr>
    </w:lvl>
    <w:lvl w:ilvl="2">
      <w:start w:val="0"/>
      <w:numFmt w:val="bullet"/>
      <w:lvlText w:val="•"/>
      <w:lvlJc w:val="left"/>
      <w:pPr>
        <w:ind w:left="2304" w:hanging="360"/>
      </w:pPr>
      <w:rPr>
        <w:rFonts w:hint="default"/>
      </w:rPr>
    </w:lvl>
    <w:lvl w:ilvl="3">
      <w:start w:val="0"/>
      <w:numFmt w:val="bullet"/>
      <w:lvlText w:val="•"/>
      <w:lvlJc w:val="left"/>
      <w:pPr>
        <w:ind w:left="3216" w:hanging="360"/>
      </w:pPr>
      <w:rPr>
        <w:rFonts w:hint="default"/>
      </w:rPr>
    </w:lvl>
    <w:lvl w:ilvl="4">
      <w:start w:val="0"/>
      <w:numFmt w:val="bullet"/>
      <w:lvlText w:val="•"/>
      <w:lvlJc w:val="left"/>
      <w:pPr>
        <w:ind w:left="4128" w:hanging="360"/>
      </w:pPr>
      <w:rPr>
        <w:rFonts w:hint="default"/>
      </w:rPr>
    </w:lvl>
    <w:lvl w:ilvl="5">
      <w:start w:val="0"/>
      <w:numFmt w:val="bullet"/>
      <w:lvlText w:val="•"/>
      <w:lvlJc w:val="left"/>
      <w:pPr>
        <w:ind w:left="5040" w:hanging="360"/>
      </w:pPr>
      <w:rPr>
        <w:rFonts w:hint="default"/>
      </w:rPr>
    </w:lvl>
    <w:lvl w:ilvl="6">
      <w:start w:val="0"/>
      <w:numFmt w:val="bullet"/>
      <w:lvlText w:val="•"/>
      <w:lvlJc w:val="left"/>
      <w:pPr>
        <w:ind w:left="5952" w:hanging="360"/>
      </w:pPr>
      <w:rPr>
        <w:rFonts w:hint="default"/>
      </w:rPr>
    </w:lvl>
    <w:lvl w:ilvl="7">
      <w:start w:val="0"/>
      <w:numFmt w:val="bullet"/>
      <w:lvlText w:val="•"/>
      <w:lvlJc w:val="left"/>
      <w:pPr>
        <w:ind w:left="6864" w:hanging="360"/>
      </w:pPr>
      <w:rPr>
        <w:rFonts w:hint="default"/>
      </w:rPr>
    </w:lvl>
    <w:lvl w:ilvl="8">
      <w:start w:val="0"/>
      <w:numFmt w:val="bullet"/>
      <w:lvlText w:val="•"/>
      <w:lvlJc w:val="left"/>
      <w:pPr>
        <w:ind w:left="7776" w:hanging="360"/>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rPr>
  </w:style>
  <w:style w:styleId="BodyText" w:type="paragraph">
    <w:name w:val="Body Text"/>
    <w:basedOn w:val="Normal"/>
    <w:uiPriority w:val="1"/>
    <w:qFormat/>
    <w:pPr/>
    <w:rPr>
      <w:rFonts w:ascii="Arial" w:hAnsi="Arial" w:eastAsia="Arial" w:cs="Arial"/>
      <w:sz w:val="20"/>
      <w:szCs w:val="20"/>
    </w:rPr>
  </w:style>
  <w:style w:styleId="Heading1" w:type="paragraph">
    <w:name w:val="Heading 1"/>
    <w:basedOn w:val="Normal"/>
    <w:uiPriority w:val="1"/>
    <w:qFormat/>
    <w:pPr>
      <w:ind w:left="107"/>
      <w:outlineLvl w:val="1"/>
    </w:pPr>
    <w:rPr>
      <w:rFonts w:ascii="Arial" w:hAnsi="Arial" w:eastAsia="Arial" w:cs="Arial"/>
      <w:sz w:val="29"/>
      <w:szCs w:val="29"/>
    </w:rPr>
  </w:style>
  <w:style w:styleId="ListParagraph" w:type="paragraph">
    <w:name w:val="List Paragraph"/>
    <w:basedOn w:val="Normal"/>
    <w:uiPriority w:val="1"/>
    <w:qFormat/>
    <w:pPr>
      <w:ind w:left="476" w:hanging="359"/>
      <w:jc w:val="both"/>
    </w:pPr>
    <w:rPr>
      <w:rFonts w:ascii="Arial" w:hAnsi="Arial" w:eastAsia="Arial" w:cs="Arial"/>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2020-09-24T19:23:18Z</dcterms:created>
  <dcterms:modified xsi:type="dcterms:W3CDTF">2020-09-24T19:23:18Z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2020-09-18T00:00:00Z</vt:filetime>
  </property>
  <property fmtid="{D5CDD505-2E9C-101B-9397-08002B2CF9AE}" pid="3" name="Creator">
    <vt:lpwstr>Bluebeam Stapler 19.0.20</vt:lpwstr>
  </property>
  <property fmtid="{D5CDD505-2E9C-101B-9397-08002B2CF9AE}" pid="4" name="LastSaved">
    <vt:filetime>2020-09-24T00:00:00Z</vt:filetime>
  </property>
</Properties>
</file>